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1F42" w:rsidRDefault="006D47B4">
      <w:pPr>
        <w:pBdr>
          <w:top w:val="nil"/>
          <w:left w:val="nil"/>
          <w:bottom w:val="nil"/>
          <w:right w:val="nil"/>
          <w:between w:val="nil"/>
        </w:pBdr>
        <w:tabs>
          <w:tab w:val="center" w:pos="4513"/>
          <w:tab w:val="right" w:pos="9026"/>
        </w:tabs>
        <w:spacing w:after="0"/>
        <w:jc w:val="left"/>
        <w:rPr>
          <w:rFonts w:ascii="Arial" w:eastAsia="Arial" w:hAnsi="Arial" w:cs="Arial"/>
          <w:b/>
          <w:color w:val="000000"/>
          <w:sz w:val="36"/>
          <w:szCs w:val="36"/>
        </w:rPr>
      </w:pPr>
      <w:r>
        <w:rPr>
          <w:rFonts w:ascii="Arial" w:eastAsia="Arial" w:hAnsi="Arial" w:cs="Arial"/>
          <w:b/>
          <w:color w:val="000000"/>
          <w:sz w:val="36"/>
          <w:szCs w:val="36"/>
        </w:rPr>
        <w:t>Joint Schedule 7 (Financial Difficulties)</w:t>
      </w:r>
    </w:p>
    <w:p w:rsidR="00041F42" w:rsidRDefault="006D47B4">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Definitions</w:t>
      </w:r>
    </w:p>
    <w:p w:rsidR="00041F42" w:rsidRDefault="006D47B4">
      <w:pPr>
        <w:keepNext/>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041F42">
        <w:tc>
          <w:tcPr>
            <w:tcW w:w="2462" w:type="dxa"/>
          </w:tcPr>
          <w:p w:rsidR="00041F42" w:rsidRDefault="006D47B4">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5098" w:type="dxa"/>
          </w:tcPr>
          <w:p w:rsidR="00041F42" w:rsidRDefault="006D47B4">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minimum credit rating level for the Monitored Company as set out in Annex 2 and</w:t>
            </w:r>
          </w:p>
        </w:tc>
      </w:tr>
      <w:tr w:rsidR="00041F42">
        <w:tc>
          <w:tcPr>
            <w:tcW w:w="2462" w:type="dxa"/>
          </w:tcPr>
          <w:p w:rsidR="00D3453F" w:rsidRDefault="006D47B4">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"Financial Distress Event"</w:t>
            </w: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D3453F" w:rsidRPr="00D3453F" w:rsidRDefault="00D3453F" w:rsidP="00D3453F">
            <w:pPr>
              <w:rPr>
                <w:rFonts w:ascii="Arial" w:eastAsia="Arial" w:hAnsi="Arial" w:cs="Arial"/>
                <w:sz w:val="24"/>
                <w:szCs w:val="24"/>
              </w:rPr>
            </w:pPr>
          </w:p>
          <w:p w:rsidR="00041F42" w:rsidRPr="00D3453F" w:rsidRDefault="00041F42" w:rsidP="00D3453F">
            <w:pPr>
              <w:ind w:firstLine="720"/>
              <w:rPr>
                <w:rFonts w:ascii="Arial" w:eastAsia="Arial" w:hAnsi="Arial" w:cs="Arial"/>
                <w:sz w:val="24"/>
                <w:szCs w:val="24"/>
              </w:rPr>
            </w:pPr>
          </w:p>
        </w:tc>
        <w:tc>
          <w:tcPr>
            <w:tcW w:w="5098" w:type="dxa"/>
          </w:tcPr>
          <w:p w:rsidR="00041F42" w:rsidRDefault="006D47B4">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occurrence or one or more of the following events:</w:t>
            </w:r>
          </w:p>
          <w:p w:rsidR="00041F42" w:rsidRDefault="006D47B4">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the credit rating of the Monitored Company dropping below the applicable Credit Rating Threshold;</w:t>
            </w:r>
          </w:p>
          <w:p w:rsidR="00041F42" w:rsidRDefault="006D47B4">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the Monitored Company issuing a profits warning to a stock exchange or making any other public announcement about a material deterioration in its financial position or prospects;</w:t>
            </w:r>
          </w:p>
          <w:p w:rsidR="00041F42" w:rsidRDefault="006D47B4">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 xml:space="preserve">there being a public investigation into improper financial accounting and reporting, suspected fraud or any other impropriety of the Monitored Party; </w:t>
            </w:r>
          </w:p>
          <w:p w:rsidR="00041F42" w:rsidRDefault="006D47B4">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 xml:space="preserve">Monitored Company committing a material breach of covenant to its lenders; </w:t>
            </w:r>
          </w:p>
          <w:p w:rsidR="00041F42" w:rsidRDefault="006D47B4">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a Key Subcontractor (where applicable) notifying CCS that the Supplier has not satisfied any sums properly due under a specified invoice and not subject to a genuine dispute; or</w:t>
            </w:r>
          </w:p>
          <w:p w:rsidR="00041F42" w:rsidRDefault="006D47B4">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any of the following:</w:t>
            </w:r>
          </w:p>
          <w:p w:rsidR="00041F42" w:rsidRDefault="006D47B4">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 xml:space="preserve">commencement of any litigation against the Monitored Company with respect to financial indebtedness or obligations under a contract; </w:t>
            </w:r>
          </w:p>
          <w:p w:rsidR="00041F42" w:rsidRDefault="006D47B4">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non-payment by the Monitored Company of any financial indebtedness;</w:t>
            </w:r>
          </w:p>
          <w:p w:rsidR="00041F42" w:rsidRDefault="006D47B4">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any financial indebtedness of the Monitored Company becoming due as a result of an event of default; or</w:t>
            </w:r>
          </w:p>
          <w:p w:rsidR="00041F42" w:rsidRDefault="006D47B4">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lastRenderedPageBreak/>
              <w:t>the cancellation or suspension of any financial indebtedness in respect of the Monitored Company</w:t>
            </w:r>
          </w:p>
          <w:p w:rsidR="00041F42" w:rsidRDefault="006D47B4">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041F42">
        <w:tc>
          <w:tcPr>
            <w:tcW w:w="2462" w:type="dxa"/>
          </w:tcPr>
          <w:p w:rsidR="00041F42" w:rsidRDefault="006D47B4">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lastRenderedPageBreak/>
              <w:t>"Financial Distress Service Continuity Plan"</w:t>
            </w:r>
          </w:p>
        </w:tc>
        <w:tc>
          <w:tcPr>
            <w:tcW w:w="5098" w:type="dxa"/>
          </w:tcPr>
          <w:p w:rsidR="00041F42" w:rsidRDefault="006D47B4">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041F42">
        <w:tc>
          <w:tcPr>
            <w:tcW w:w="2462" w:type="dxa"/>
          </w:tcPr>
          <w:p w:rsidR="00041F42" w:rsidRDefault="006D47B4">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“Monitored Company”</w:t>
            </w:r>
          </w:p>
        </w:tc>
        <w:tc>
          <w:tcPr>
            <w:tcW w:w="5098" w:type="dxa"/>
          </w:tcPr>
          <w:p w:rsidR="00041F42" w:rsidRDefault="006D47B4" w:rsidP="009D7ED1">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 xml:space="preserve">Supplier </w:t>
            </w:r>
          </w:p>
        </w:tc>
      </w:tr>
      <w:tr w:rsidR="00041F42">
        <w:tc>
          <w:tcPr>
            <w:tcW w:w="2462" w:type="dxa"/>
          </w:tcPr>
          <w:p w:rsidR="00041F42" w:rsidRDefault="006D47B4">
            <w:pPr>
              <w:pBdr>
                <w:top w:val="nil"/>
                <w:left w:val="nil"/>
                <w:bottom w:val="nil"/>
                <w:right w:val="nil"/>
                <w:between w:val="nil"/>
              </w:pBdr>
              <w:spacing w:after="120"/>
              <w:ind w:left="-108" w:firstLine="108"/>
              <w:jc w:val="left"/>
              <w:rPr>
                <w:rFonts w:ascii="Arial" w:eastAsia="Arial" w:hAnsi="Arial" w:cs="Arial"/>
                <w:b/>
                <w:color w:val="000000"/>
                <w:sz w:val="24"/>
                <w:szCs w:val="24"/>
              </w:rPr>
            </w:pPr>
            <w:r>
              <w:rPr>
                <w:rFonts w:ascii="Arial" w:eastAsia="Arial" w:hAnsi="Arial" w:cs="Arial"/>
                <w:b/>
                <w:color w:val="000000"/>
                <w:sz w:val="24"/>
                <w:szCs w:val="24"/>
              </w:rPr>
              <w:t>"Rating Agencies"</w:t>
            </w:r>
          </w:p>
        </w:tc>
        <w:tc>
          <w:tcPr>
            <w:tcW w:w="5098" w:type="dxa"/>
          </w:tcPr>
          <w:p w:rsidR="00041F42" w:rsidRDefault="006D47B4">
            <w:pPr>
              <w:numPr>
                <w:ilvl w:val="0"/>
                <w:numId w:val="1"/>
              </w:numPr>
              <w:pBdr>
                <w:top w:val="nil"/>
                <w:left w:val="nil"/>
                <w:bottom w:val="nil"/>
                <w:right w:val="nil"/>
                <w:between w:val="nil"/>
              </w:pBdr>
              <w:tabs>
                <w:tab w:val="left" w:pos="175"/>
              </w:tabs>
              <w:spacing w:after="120"/>
              <w:jc w:val="left"/>
              <w:rPr>
                <w:color w:val="000000"/>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rating agencies listed in Annex 1.</w:t>
            </w:r>
          </w:p>
        </w:tc>
      </w:tr>
    </w:tbl>
    <w:p w:rsidR="00041F42" w:rsidRDefault="006D47B4">
      <w:pPr>
        <w:keepNext/>
        <w:numPr>
          <w:ilvl w:val="0"/>
          <w:numId w:val="2"/>
        </w:numPr>
        <w:pBdr>
          <w:top w:val="nil"/>
          <w:left w:val="nil"/>
          <w:bottom w:val="nil"/>
          <w:right w:val="nil"/>
          <w:between w:val="nil"/>
        </w:pBdr>
        <w:tabs>
          <w:tab w:val="left" w:pos="142"/>
        </w:tabs>
        <w:spacing w:before="120"/>
        <w:jc w:val="left"/>
      </w:pPr>
      <w:bookmarkStart w:id="0" w:name="_gjdgxs" w:colFirst="0" w:colLast="0"/>
      <w:bookmarkEnd w:id="0"/>
      <w:r>
        <w:rPr>
          <w:rFonts w:ascii="Arial Bold" w:eastAsia="Arial Bold" w:hAnsi="Arial Bold" w:cs="Arial Bold"/>
          <w:b/>
          <w:color w:val="000000"/>
          <w:sz w:val="24"/>
          <w:szCs w:val="24"/>
        </w:rPr>
        <w:t>When this Schedule applies</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The Parties shall comply with the provisions of this Schedule in relation to the assessment of the financial standing of the Monitored Companies and the consequences of a change to that financial standing.</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 xml:space="preserve">    The terms of this Schedule shall survive: </w:t>
      </w:r>
    </w:p>
    <w:p w:rsidR="00041F42" w:rsidRDefault="006D47B4">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41F42" w:rsidRDefault="006D47B4">
      <w:pPr>
        <w:numPr>
          <w:ilvl w:val="2"/>
          <w:numId w:val="2"/>
        </w:numPr>
        <w:pBdr>
          <w:top w:val="nil"/>
          <w:left w:val="nil"/>
          <w:bottom w:val="nil"/>
          <w:right w:val="nil"/>
          <w:between w:val="nil"/>
        </w:pBdr>
        <w:tabs>
          <w:tab w:val="left" w:pos="1985"/>
        </w:tabs>
        <w:spacing w:before="120" w:after="120"/>
        <w:jc w:val="left"/>
      </w:pPr>
      <w:proofErr w:type="gramStart"/>
      <w:r>
        <w:rPr>
          <w:rFonts w:ascii="Arial" w:eastAsia="Arial" w:hAnsi="Arial" w:cs="Arial"/>
          <w:color w:val="000000"/>
          <w:sz w:val="24"/>
          <w:szCs w:val="24"/>
        </w:rPr>
        <w:t>under</w:t>
      </w:r>
      <w:proofErr w:type="gramEnd"/>
      <w:r>
        <w:rPr>
          <w:rFonts w:ascii="Arial" w:eastAsia="Arial" w:hAnsi="Arial" w:cs="Arial"/>
          <w:color w:val="000000"/>
          <w:sz w:val="24"/>
          <w:szCs w:val="24"/>
        </w:rPr>
        <w:t xml:space="preserve"> the Call-Off Contract until the termination or expiry of the Call-Off Contract.</w:t>
      </w:r>
    </w:p>
    <w:p w:rsidR="00041F42" w:rsidRDefault="006D47B4">
      <w:pPr>
        <w:keepNext/>
        <w:numPr>
          <w:ilvl w:val="0"/>
          <w:numId w:val="2"/>
        </w:numPr>
        <w:pBdr>
          <w:top w:val="nil"/>
          <w:left w:val="nil"/>
          <w:bottom w:val="nil"/>
          <w:right w:val="nil"/>
          <w:between w:val="nil"/>
        </w:pBdr>
        <w:tabs>
          <w:tab w:val="left" w:pos="142"/>
        </w:tabs>
        <w:spacing w:before="120"/>
        <w:jc w:val="left"/>
      </w:pPr>
      <w:r>
        <w:rPr>
          <w:rFonts w:ascii="Arial" w:eastAsia="Arial" w:hAnsi="Arial" w:cs="Arial"/>
          <w:b/>
          <w:smallCaps/>
          <w:color w:val="000000"/>
          <w:sz w:val="24"/>
          <w:szCs w:val="24"/>
        </w:rPr>
        <w:t>W</w:t>
      </w:r>
      <w:r>
        <w:rPr>
          <w:rFonts w:ascii="Arial Bold" w:eastAsia="Arial Bold" w:hAnsi="Arial Bold" w:cs="Arial Bold"/>
          <w:b/>
          <w:color w:val="000000"/>
          <w:sz w:val="24"/>
          <w:szCs w:val="24"/>
        </w:rPr>
        <w:t>hat happens when your credit rating changes</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bookmarkStart w:id="1" w:name="_30j0zll" w:colFirst="0" w:colLast="0"/>
      <w:bookmarkEnd w:id="1"/>
      <w:r>
        <w:rPr>
          <w:rFonts w:ascii="Arial" w:eastAsia="Arial" w:hAnsi="Arial" w:cs="Arial"/>
          <w:color w:val="000000"/>
          <w:sz w:val="24"/>
          <w:szCs w:val="24"/>
        </w:rPr>
        <w:t xml:space="preserve">The Supplier warrants and represents to CCS that as at the Start Date the long term credit ratings issued for the Monitored Companies by each of the Rating Agencies are as set out in Annex 2. </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The Supplier shall promptly (and in any event within five (5) Working Days) notify CCS in writing if there is any downgrade in the credit rating issued by any Rating Agency for a Monitored Company.</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w:t>
      </w:r>
      <w:r>
        <w:rPr>
          <w:rFonts w:ascii="Arial" w:eastAsia="Arial" w:hAnsi="Arial" w:cs="Arial"/>
          <w:color w:val="000000"/>
          <w:sz w:val="24"/>
          <w:szCs w:val="24"/>
        </w:rPr>
        <w:lastRenderedPageBreak/>
        <w:t>such other date as may be requested by CCS.  For these purposes the "quick ratio" on any date means:</w:t>
      </w:r>
    </w:p>
    <w:p w:rsidR="00041F42" w:rsidRDefault="006D47B4">
      <w:pPr>
        <w:ind w:firstLine="1134"/>
        <w:jc w:val="left"/>
        <w:rPr>
          <w:rFonts w:ascii="Arial" w:eastAsia="Arial" w:hAnsi="Arial" w:cs="Arial"/>
          <w:sz w:val="24"/>
          <w:szCs w:val="24"/>
        </w:rPr>
      </w:pPr>
      <w:bookmarkStart w:id="2" w:name="_1fob9te" w:colFirst="0" w:colLast="0"/>
      <w:bookmarkEnd w:id="2"/>
      <w:r>
        <w:rPr>
          <w:rFonts w:ascii="Arial" w:eastAsia="Arial" w:hAnsi="Arial" w:cs="Arial"/>
          <w:noProof/>
          <w:sz w:val="24"/>
          <w:szCs w:val="24"/>
        </w:rPr>
        <w:drawing>
          <wp:inline distT="0" distB="0" distL="0" distR="0">
            <wp:extent cx="609600" cy="16319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609600" cy="163195"/>
                    </a:xfrm>
                    <a:prstGeom prst="rect">
                      <a:avLst/>
                    </a:prstGeom>
                    <a:ln/>
                  </pic:spPr>
                </pic:pic>
              </a:graphicData>
            </a:graphic>
          </wp:inline>
        </w:drawing>
      </w:r>
      <w:r>
        <w:rPr>
          <w:rFonts w:ascii="Arial" w:eastAsia="Arial" w:hAnsi="Arial" w:cs="Arial"/>
          <w:noProof/>
          <w:sz w:val="24"/>
          <w:szCs w:val="24"/>
        </w:rPr>
        <w:drawing>
          <wp:inline distT="0" distB="0" distL="0" distR="0">
            <wp:extent cx="609600" cy="31559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315595"/>
                    </a:xfrm>
                    <a:prstGeom prst="rect">
                      <a:avLst/>
                    </a:prstGeom>
                    <a:ln/>
                  </pic:spPr>
                </pic:pic>
              </a:graphicData>
            </a:graphic>
          </wp:inline>
        </w:drawing>
      </w:r>
    </w:p>
    <w:p w:rsidR="00041F42" w:rsidRDefault="006D47B4">
      <w:pPr>
        <w:pBdr>
          <w:top w:val="nil"/>
          <w:left w:val="nil"/>
          <w:bottom w:val="nil"/>
          <w:right w:val="nil"/>
          <w:between w:val="nil"/>
        </w:pBdr>
        <w:tabs>
          <w:tab w:val="left" w:pos="3402"/>
        </w:tabs>
        <w:spacing w:after="220"/>
        <w:ind w:left="720" w:hanging="1134"/>
        <w:jc w:val="left"/>
        <w:rPr>
          <w:rFonts w:ascii="Arial" w:eastAsia="Arial" w:hAnsi="Arial" w:cs="Arial"/>
          <w:color w:val="000000"/>
          <w:sz w:val="24"/>
          <w:szCs w:val="24"/>
        </w:rPr>
      </w:pPr>
      <w:proofErr w:type="gramStart"/>
      <w:r>
        <w:rPr>
          <w:rFonts w:ascii="Arial" w:eastAsia="Arial" w:hAnsi="Arial" w:cs="Arial"/>
          <w:color w:val="000000"/>
          <w:sz w:val="24"/>
          <w:szCs w:val="24"/>
        </w:rPr>
        <w:t>where</w:t>
      </w:r>
      <w:proofErr w:type="gramEnd"/>
      <w:r>
        <w:rPr>
          <w:rFonts w:ascii="Arial" w:eastAsia="Arial" w:hAnsi="Arial" w:cs="Arial"/>
          <w:color w:val="000000"/>
          <w:sz w:val="24"/>
          <w:szCs w:val="24"/>
        </w:rPr>
        <w:t>:</w:t>
      </w:r>
    </w:p>
    <w:tbl>
      <w:tblPr>
        <w:tblStyle w:val="a0"/>
        <w:tblW w:w="8317" w:type="dxa"/>
        <w:tblInd w:w="709" w:type="dxa"/>
        <w:tblLayout w:type="fixed"/>
        <w:tblLook w:val="0400" w:firstRow="0" w:lastRow="0" w:firstColumn="0" w:lastColumn="0" w:noHBand="0" w:noVBand="1"/>
      </w:tblPr>
      <w:tblGrid>
        <w:gridCol w:w="1524"/>
        <w:gridCol w:w="6793"/>
      </w:tblGrid>
      <w:tr w:rsidR="00041F42">
        <w:tc>
          <w:tcPr>
            <w:tcW w:w="1524" w:type="dxa"/>
          </w:tcPr>
          <w:p w:rsidR="00041F42" w:rsidRDefault="006D47B4">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A</w:t>
            </w:r>
          </w:p>
        </w:tc>
        <w:tc>
          <w:tcPr>
            <w:tcW w:w="6793" w:type="dxa"/>
          </w:tcPr>
          <w:p w:rsidR="00041F42" w:rsidRDefault="006D47B4">
            <w:pPr>
              <w:pBdr>
                <w:top w:val="nil"/>
                <w:left w:val="nil"/>
                <w:bottom w:val="nil"/>
                <w:right w:val="nil"/>
                <w:between w:val="nil"/>
              </w:pBdr>
              <w:tabs>
                <w:tab w:val="left" w:pos="3402"/>
              </w:tabs>
              <w:spacing w:after="220"/>
              <w:ind w:left="1134" w:hanging="1134"/>
              <w:jc w:val="left"/>
              <w:rPr>
                <w:rFonts w:ascii="Arial" w:eastAsia="Arial" w:hAnsi="Arial" w:cs="Arial"/>
                <w:b/>
                <w:color w:val="000000"/>
                <w:sz w:val="24"/>
                <w:szCs w:val="24"/>
              </w:rPr>
            </w:pPr>
            <w:r>
              <w:rPr>
                <w:rFonts w:ascii="Arial" w:eastAsia="Arial" w:hAnsi="Arial" w:cs="Arial"/>
                <w:color w:val="000000"/>
                <w:sz w:val="24"/>
                <w:szCs w:val="24"/>
              </w:rPr>
              <w:t>is the value at the relevant date of all cash in hand and at the bank of the Monitored Company];</w:t>
            </w:r>
          </w:p>
        </w:tc>
      </w:tr>
      <w:tr w:rsidR="00041F42">
        <w:tc>
          <w:tcPr>
            <w:tcW w:w="1524" w:type="dxa"/>
          </w:tcPr>
          <w:p w:rsidR="00041F42" w:rsidRDefault="006D47B4">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B</w:t>
            </w:r>
          </w:p>
        </w:tc>
        <w:tc>
          <w:tcPr>
            <w:tcW w:w="6793" w:type="dxa"/>
          </w:tcPr>
          <w:p w:rsidR="00041F42" w:rsidRDefault="006D47B4">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 xml:space="preserve">is the value of all marketable securities held by the Supplier the Monitored Company determined using closing prices on the Working Day preceding the relevant date; </w:t>
            </w:r>
          </w:p>
        </w:tc>
      </w:tr>
      <w:tr w:rsidR="00041F42">
        <w:tc>
          <w:tcPr>
            <w:tcW w:w="1524" w:type="dxa"/>
          </w:tcPr>
          <w:p w:rsidR="00041F42" w:rsidRDefault="006D47B4">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C</w:t>
            </w:r>
          </w:p>
        </w:tc>
        <w:tc>
          <w:tcPr>
            <w:tcW w:w="6793" w:type="dxa"/>
          </w:tcPr>
          <w:p w:rsidR="00041F42" w:rsidRDefault="006D47B4">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is the value at the relevant date of all account receivables of the Monitored]; and</w:t>
            </w:r>
          </w:p>
        </w:tc>
      </w:tr>
      <w:tr w:rsidR="00041F42">
        <w:tc>
          <w:tcPr>
            <w:tcW w:w="1524" w:type="dxa"/>
          </w:tcPr>
          <w:p w:rsidR="00041F42" w:rsidRDefault="006D47B4">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r>
              <w:rPr>
                <w:rFonts w:ascii="Arial" w:eastAsia="Arial" w:hAnsi="Arial" w:cs="Arial"/>
                <w:color w:val="000000"/>
                <w:sz w:val="24"/>
                <w:szCs w:val="24"/>
              </w:rPr>
              <w:t>D</w:t>
            </w:r>
          </w:p>
        </w:tc>
        <w:tc>
          <w:tcPr>
            <w:tcW w:w="6793" w:type="dxa"/>
          </w:tcPr>
          <w:p w:rsidR="00041F42" w:rsidRDefault="006D47B4">
            <w:pPr>
              <w:pBdr>
                <w:top w:val="nil"/>
                <w:left w:val="nil"/>
                <w:bottom w:val="nil"/>
                <w:right w:val="nil"/>
                <w:between w:val="nil"/>
              </w:pBdr>
              <w:tabs>
                <w:tab w:val="left" w:pos="3402"/>
              </w:tabs>
              <w:spacing w:after="220"/>
              <w:ind w:left="1134" w:hanging="1134"/>
              <w:jc w:val="left"/>
              <w:rPr>
                <w:rFonts w:ascii="Arial" w:eastAsia="Arial" w:hAnsi="Arial" w:cs="Arial"/>
                <w:color w:val="000000"/>
                <w:sz w:val="24"/>
                <w:szCs w:val="24"/>
              </w:rPr>
            </w:pPr>
            <w:proofErr w:type="gramStart"/>
            <w:r>
              <w:rPr>
                <w:rFonts w:ascii="Arial" w:eastAsia="Arial" w:hAnsi="Arial" w:cs="Arial"/>
                <w:color w:val="000000"/>
                <w:sz w:val="24"/>
                <w:szCs w:val="24"/>
              </w:rPr>
              <w:t>is</w:t>
            </w:r>
            <w:proofErr w:type="gramEnd"/>
            <w:r>
              <w:rPr>
                <w:rFonts w:ascii="Arial" w:eastAsia="Arial" w:hAnsi="Arial" w:cs="Arial"/>
                <w:color w:val="000000"/>
                <w:sz w:val="24"/>
                <w:szCs w:val="24"/>
              </w:rPr>
              <w:t xml:space="preserve"> the value at the relevant date of the current liabilities of the Monitored Company].</w:t>
            </w:r>
          </w:p>
        </w:tc>
      </w:tr>
    </w:tbl>
    <w:p w:rsidR="00041F42" w:rsidRDefault="006D47B4">
      <w:pPr>
        <w:keepNext/>
        <w:numPr>
          <w:ilvl w:val="1"/>
          <w:numId w:val="2"/>
        </w:numPr>
        <w:pBdr>
          <w:top w:val="nil"/>
          <w:left w:val="nil"/>
          <w:bottom w:val="nil"/>
          <w:right w:val="nil"/>
          <w:between w:val="nil"/>
        </w:pBdr>
        <w:tabs>
          <w:tab w:val="left" w:pos="1134"/>
        </w:tabs>
        <w:spacing w:before="120" w:after="120"/>
        <w:ind w:hanging="360"/>
        <w:jc w:val="left"/>
      </w:pPr>
      <w:bookmarkStart w:id="3" w:name="_3znysh7" w:colFirst="0" w:colLast="0"/>
      <w:bookmarkEnd w:id="3"/>
      <w:r>
        <w:rPr>
          <w:rFonts w:ascii="Arial" w:eastAsia="Arial" w:hAnsi="Arial" w:cs="Arial"/>
          <w:color w:val="000000"/>
          <w:sz w:val="24"/>
          <w:szCs w:val="24"/>
        </w:rPr>
        <w:t xml:space="preserve">The Supplier shall: </w:t>
      </w:r>
    </w:p>
    <w:p w:rsidR="00041F42" w:rsidRDefault="006D47B4">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regularly monitor the credit ratings of each Monitored Company with the Rating Agencies; and </w:t>
      </w:r>
    </w:p>
    <w:p w:rsidR="00041F42" w:rsidRDefault="006D47B4">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41F42" w:rsidRDefault="006D47B4">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What happens if there is a financial distress event</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bookmarkStart w:id="4" w:name="_2et92p0" w:colFirst="0" w:colLast="0"/>
      <w:bookmarkEnd w:id="4"/>
      <w:r>
        <w:rPr>
          <w:rFonts w:ascii="Arial" w:eastAsia="Arial" w:hAnsi="Arial" w:cs="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41F42" w:rsidRPr="009D7ED1" w:rsidRDefault="009D7ED1">
      <w:pPr>
        <w:numPr>
          <w:ilvl w:val="1"/>
          <w:numId w:val="2"/>
        </w:numPr>
        <w:pBdr>
          <w:top w:val="nil"/>
          <w:left w:val="nil"/>
          <w:bottom w:val="nil"/>
          <w:right w:val="nil"/>
          <w:between w:val="nil"/>
        </w:pBdr>
        <w:tabs>
          <w:tab w:val="left" w:pos="1134"/>
        </w:tabs>
        <w:spacing w:before="120" w:after="120"/>
        <w:ind w:hanging="360"/>
        <w:jc w:val="left"/>
        <w:rPr>
          <w:strike/>
        </w:rPr>
      </w:pPr>
      <w:bookmarkStart w:id="5" w:name="_tyjcwt" w:colFirst="0" w:colLast="0"/>
      <w:bookmarkEnd w:id="5"/>
      <w:r w:rsidRPr="009D7ED1">
        <w:rPr>
          <w:rFonts w:ascii="Arial" w:eastAsia="Arial" w:hAnsi="Arial" w:cs="Arial"/>
          <w:strike/>
          <w:color w:val="000000"/>
          <w:sz w:val="24"/>
          <w:szCs w:val="24"/>
        </w:rPr>
        <w:t xml:space="preserve"> </w:t>
      </w:r>
      <w:r w:rsidR="006D47B4" w:rsidRPr="009D7ED1">
        <w:rPr>
          <w:rFonts w:ascii="Arial" w:eastAsia="Arial" w:hAnsi="Arial" w:cs="Arial"/>
          <w:strike/>
          <w:color w:val="000000"/>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41F42" w:rsidRPr="009D7ED1" w:rsidRDefault="006D47B4">
      <w:pPr>
        <w:numPr>
          <w:ilvl w:val="2"/>
          <w:numId w:val="2"/>
        </w:numPr>
        <w:pBdr>
          <w:top w:val="nil"/>
          <w:left w:val="nil"/>
          <w:bottom w:val="nil"/>
          <w:right w:val="nil"/>
          <w:between w:val="nil"/>
        </w:pBdr>
        <w:tabs>
          <w:tab w:val="left" w:pos="1985"/>
        </w:tabs>
        <w:spacing w:before="120" w:after="120"/>
        <w:jc w:val="left"/>
        <w:rPr>
          <w:strike/>
        </w:rPr>
      </w:pPr>
      <w:r w:rsidRPr="009D7ED1">
        <w:rPr>
          <w:rFonts w:ascii="Arial" w:eastAsia="Arial" w:hAnsi="Arial" w:cs="Arial"/>
          <w:strike/>
          <w:color w:val="000000"/>
          <w:sz w:val="24"/>
          <w:szCs w:val="24"/>
        </w:rPr>
        <w:lastRenderedPageBreak/>
        <w:t xml:space="preserve">rectify such late or non-payment; or </w:t>
      </w:r>
    </w:p>
    <w:p w:rsidR="00041F42" w:rsidRPr="009D7ED1" w:rsidRDefault="006D47B4">
      <w:pPr>
        <w:numPr>
          <w:ilvl w:val="2"/>
          <w:numId w:val="2"/>
        </w:numPr>
        <w:pBdr>
          <w:top w:val="nil"/>
          <w:left w:val="nil"/>
          <w:bottom w:val="nil"/>
          <w:right w:val="nil"/>
          <w:between w:val="nil"/>
        </w:pBdr>
        <w:tabs>
          <w:tab w:val="left" w:pos="1985"/>
        </w:tabs>
        <w:spacing w:before="120" w:after="120"/>
        <w:jc w:val="left"/>
        <w:rPr>
          <w:strike/>
        </w:rPr>
      </w:pPr>
      <w:proofErr w:type="gramStart"/>
      <w:r w:rsidRPr="009D7ED1">
        <w:rPr>
          <w:rFonts w:ascii="Arial" w:eastAsia="Arial" w:hAnsi="Arial" w:cs="Arial"/>
          <w:strike/>
          <w:color w:val="000000"/>
          <w:sz w:val="24"/>
          <w:szCs w:val="24"/>
        </w:rPr>
        <w:t>demonstrate</w:t>
      </w:r>
      <w:proofErr w:type="gramEnd"/>
      <w:r w:rsidRPr="009D7ED1">
        <w:rPr>
          <w:rFonts w:ascii="Arial" w:eastAsia="Arial" w:hAnsi="Arial" w:cs="Arial"/>
          <w:strike/>
          <w:color w:val="000000"/>
          <w:sz w:val="24"/>
          <w:szCs w:val="24"/>
        </w:rPr>
        <w:t xml:space="preserve"> to CCS's reasonable satisfaction that there is a valid reason for late or non-payment.]</w:t>
      </w:r>
    </w:p>
    <w:p w:rsidR="00041F42" w:rsidRDefault="006D47B4">
      <w:pPr>
        <w:keepNext/>
        <w:numPr>
          <w:ilvl w:val="1"/>
          <w:numId w:val="2"/>
        </w:numPr>
        <w:pBdr>
          <w:top w:val="nil"/>
          <w:left w:val="nil"/>
          <w:bottom w:val="nil"/>
          <w:right w:val="nil"/>
          <w:between w:val="nil"/>
        </w:pBdr>
        <w:tabs>
          <w:tab w:val="left" w:pos="1134"/>
        </w:tabs>
        <w:spacing w:before="120" w:after="120"/>
        <w:ind w:hanging="360"/>
        <w:jc w:val="left"/>
      </w:pPr>
      <w:bookmarkStart w:id="6" w:name="_1t3h5sf" w:colFirst="0" w:colLast="0"/>
      <w:bookmarkEnd w:id="6"/>
      <w:r>
        <w:rPr>
          <w:rFonts w:ascii="Arial" w:eastAsia="Arial" w:hAnsi="Arial" w:cs="Arial"/>
          <w:color w:val="000000"/>
          <w:sz w:val="24"/>
          <w:szCs w:val="24"/>
        </w:rPr>
        <w:t>The Supplier shall and shall procure that the other Monitored Companies shall:</w:t>
      </w:r>
    </w:p>
    <w:p w:rsidR="00041F42" w:rsidRDefault="006D47B4">
      <w:pPr>
        <w:numPr>
          <w:ilvl w:val="2"/>
          <w:numId w:val="2"/>
        </w:numPr>
        <w:pBdr>
          <w:top w:val="nil"/>
          <w:left w:val="nil"/>
          <w:bottom w:val="nil"/>
          <w:right w:val="nil"/>
          <w:between w:val="nil"/>
        </w:pBdr>
        <w:tabs>
          <w:tab w:val="left" w:pos="1985"/>
        </w:tabs>
        <w:spacing w:before="120" w:after="120"/>
        <w:jc w:val="left"/>
      </w:pPr>
      <w:bookmarkStart w:id="7" w:name="_4d34og8" w:colFirst="0" w:colLast="0"/>
      <w:bookmarkEnd w:id="7"/>
      <w:r>
        <w:rPr>
          <w:rFonts w:ascii="Arial" w:eastAsia="Arial" w:hAnsi="Arial" w:cs="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41F42" w:rsidRDefault="006D47B4">
      <w:pPr>
        <w:numPr>
          <w:ilvl w:val="2"/>
          <w:numId w:val="2"/>
        </w:numPr>
        <w:pBdr>
          <w:top w:val="nil"/>
          <w:left w:val="nil"/>
          <w:bottom w:val="nil"/>
          <w:right w:val="nil"/>
          <w:between w:val="nil"/>
        </w:pBdr>
        <w:tabs>
          <w:tab w:val="left" w:pos="1985"/>
        </w:tabs>
        <w:spacing w:before="120" w:after="120"/>
        <w:jc w:val="left"/>
      </w:pPr>
      <w:bookmarkStart w:id="8" w:name="_2s8eyo1" w:colFirst="0" w:colLast="0"/>
      <w:bookmarkEnd w:id="8"/>
      <w:r>
        <w:rPr>
          <w:rFonts w:ascii="Arial" w:eastAsia="Arial" w:hAnsi="Arial" w:cs="Arial"/>
          <w:color w:val="000000"/>
          <w:sz w:val="24"/>
          <w:szCs w:val="24"/>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41F42" w:rsidRDefault="006D47B4">
      <w:pPr>
        <w:numPr>
          <w:ilvl w:val="3"/>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rsidR="00041F42" w:rsidRDefault="006D47B4">
      <w:pPr>
        <w:numPr>
          <w:ilvl w:val="3"/>
          <w:numId w:val="2"/>
        </w:numPr>
        <w:pBdr>
          <w:top w:val="nil"/>
          <w:left w:val="nil"/>
          <w:bottom w:val="nil"/>
          <w:right w:val="nil"/>
          <w:between w:val="nil"/>
        </w:pBdr>
        <w:tabs>
          <w:tab w:val="left" w:pos="1985"/>
        </w:tabs>
        <w:spacing w:before="120" w:after="120"/>
        <w:jc w:val="left"/>
      </w:pPr>
      <w:bookmarkStart w:id="9" w:name="_17dp8vu" w:colFirst="0" w:colLast="0"/>
      <w:bookmarkEnd w:id="9"/>
      <w:proofErr w:type="gramStart"/>
      <w:r>
        <w:rPr>
          <w:rFonts w:ascii="Arial" w:eastAsia="Arial" w:hAnsi="Arial" w:cs="Arial"/>
          <w:color w:val="000000"/>
          <w:sz w:val="24"/>
          <w:szCs w:val="24"/>
        </w:rPr>
        <w:t>provide</w:t>
      </w:r>
      <w:proofErr w:type="gramEnd"/>
      <w:r>
        <w:rPr>
          <w:rFonts w:ascii="Arial" w:eastAsia="Arial" w:hAnsi="Arial" w:cs="Arial"/>
          <w:color w:val="000000"/>
          <w:sz w:val="24"/>
          <w:szCs w:val="24"/>
        </w:rPr>
        <w:t xml:space="preserve"> such financial information relating to the Monitored Company as CCS may reasonably require.</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bookmarkStart w:id="10" w:name="_3rdcrjn" w:colFirst="0" w:colLast="0"/>
      <w:bookmarkEnd w:id="10"/>
      <w:r>
        <w:rPr>
          <w:rFonts w:ascii="Arial" w:eastAsia="Arial" w:hAnsi="Arial" w:cs="Arial"/>
          <w:color w:val="000000"/>
          <w:sz w:val="24"/>
          <w:szCs w:val="24"/>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w:t>
      </w:r>
      <w:proofErr w:type="gramStart"/>
      <w:r>
        <w:rPr>
          <w:rFonts w:ascii="Arial" w:eastAsia="Arial" w:hAnsi="Arial" w:cs="Arial"/>
          <w:color w:val="000000"/>
          <w:sz w:val="24"/>
          <w:szCs w:val="24"/>
        </w:rPr>
        <w:t>Approved</w:t>
      </w:r>
      <w:proofErr w:type="gramEnd"/>
      <w:r>
        <w:rPr>
          <w:rFonts w:ascii="Arial" w:eastAsia="Arial" w:hAnsi="Arial" w:cs="Arial"/>
          <w:color w:val="000000"/>
          <w:sz w:val="24"/>
          <w:szCs w:val="24"/>
        </w:rPr>
        <w:t xml:space="preserve"> by CCS or referred to the Dispute Resolution Procedure.</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bookmarkStart w:id="11" w:name="_26in1rg" w:colFirst="0" w:colLast="0"/>
      <w:bookmarkEnd w:id="11"/>
      <w:r>
        <w:rPr>
          <w:rFonts w:ascii="Arial" w:eastAsia="Arial" w:hAnsi="Arial" w:cs="Arial"/>
          <w:color w:val="000000"/>
          <w:sz w:val="24"/>
          <w:szCs w:val="24"/>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41F42" w:rsidRDefault="006D47B4">
      <w:pPr>
        <w:keepNext/>
        <w:numPr>
          <w:ilvl w:val="1"/>
          <w:numId w:val="2"/>
        </w:numPr>
        <w:pBdr>
          <w:top w:val="nil"/>
          <w:left w:val="nil"/>
          <w:bottom w:val="nil"/>
          <w:right w:val="nil"/>
          <w:between w:val="nil"/>
        </w:pBdr>
        <w:tabs>
          <w:tab w:val="left" w:pos="1134"/>
        </w:tabs>
        <w:spacing w:before="120" w:after="120"/>
        <w:ind w:hanging="360"/>
        <w:jc w:val="left"/>
      </w:pPr>
      <w:bookmarkStart w:id="12" w:name="_lnxbz9" w:colFirst="0" w:colLast="0"/>
      <w:bookmarkEnd w:id="12"/>
      <w:r>
        <w:rPr>
          <w:rFonts w:ascii="Arial" w:eastAsia="Arial" w:hAnsi="Arial" w:cs="Arial"/>
          <w:color w:val="000000"/>
          <w:sz w:val="24"/>
          <w:szCs w:val="24"/>
        </w:rPr>
        <w:t>Following Approval of the Financial Distress Service Continuity Plan by CCS, the Supplier shall:</w:t>
      </w:r>
    </w:p>
    <w:p w:rsidR="00041F42" w:rsidRDefault="006D47B4">
      <w:pPr>
        <w:numPr>
          <w:ilvl w:val="2"/>
          <w:numId w:val="2"/>
        </w:numPr>
        <w:pBdr>
          <w:top w:val="nil"/>
          <w:left w:val="nil"/>
          <w:bottom w:val="nil"/>
          <w:right w:val="nil"/>
          <w:between w:val="nil"/>
        </w:pBdr>
        <w:tabs>
          <w:tab w:val="left" w:pos="1985"/>
        </w:tabs>
        <w:spacing w:before="120" w:after="120"/>
        <w:jc w:val="left"/>
      </w:pPr>
      <w:bookmarkStart w:id="13" w:name="_35nkun2" w:colFirst="0" w:colLast="0"/>
      <w:bookmarkEnd w:id="13"/>
      <w:r>
        <w:rPr>
          <w:rFonts w:ascii="Arial" w:eastAsia="Arial" w:hAnsi="Arial" w:cs="Arial"/>
          <w:color w:val="000000"/>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41F42" w:rsidRDefault="006D47B4">
      <w:pPr>
        <w:numPr>
          <w:ilvl w:val="2"/>
          <w:numId w:val="2"/>
        </w:numPr>
        <w:pBdr>
          <w:top w:val="nil"/>
          <w:left w:val="nil"/>
          <w:bottom w:val="nil"/>
          <w:right w:val="nil"/>
          <w:between w:val="nil"/>
        </w:pBdr>
        <w:tabs>
          <w:tab w:val="left" w:pos="1985"/>
        </w:tabs>
        <w:spacing w:before="120" w:after="120"/>
        <w:jc w:val="left"/>
      </w:pPr>
      <w:bookmarkStart w:id="14" w:name="_1ksv4uv" w:colFirst="0" w:colLast="0"/>
      <w:bookmarkEnd w:id="14"/>
      <w:r>
        <w:rPr>
          <w:rFonts w:ascii="Arial" w:eastAsia="Arial" w:hAnsi="Arial" w:cs="Arial"/>
          <w:color w:val="000000"/>
          <w:sz w:val="24"/>
          <w:szCs w:val="24"/>
        </w:rPr>
        <w:lastRenderedPageBreak/>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41F42" w:rsidRDefault="006D47B4">
      <w:pPr>
        <w:numPr>
          <w:ilvl w:val="2"/>
          <w:numId w:val="2"/>
        </w:numPr>
        <w:pBdr>
          <w:top w:val="nil"/>
          <w:left w:val="nil"/>
          <w:bottom w:val="nil"/>
          <w:right w:val="nil"/>
          <w:between w:val="nil"/>
        </w:pBdr>
        <w:tabs>
          <w:tab w:val="left" w:pos="1985"/>
        </w:tabs>
        <w:spacing w:before="120" w:after="120"/>
        <w:jc w:val="left"/>
      </w:pPr>
      <w:bookmarkStart w:id="15" w:name="_44sinio" w:colFirst="0" w:colLast="0"/>
      <w:bookmarkEnd w:id="15"/>
      <w:proofErr w:type="gramStart"/>
      <w:r>
        <w:rPr>
          <w:rFonts w:ascii="Arial" w:eastAsia="Arial" w:hAnsi="Arial" w:cs="Arial"/>
          <w:color w:val="000000"/>
          <w:sz w:val="24"/>
          <w:szCs w:val="24"/>
        </w:rPr>
        <w:t>comply</w:t>
      </w:r>
      <w:proofErr w:type="gramEnd"/>
      <w:r>
        <w:rPr>
          <w:rFonts w:ascii="Arial" w:eastAsia="Arial" w:hAnsi="Arial" w:cs="Arial"/>
          <w:color w:val="000000"/>
          <w:sz w:val="24"/>
          <w:szCs w:val="24"/>
        </w:rPr>
        <w:t xml:space="preserve"> with the Financial Distress Service Continuity Plan (including any updated Financial Distress Service Continuity Plan).</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bookmarkStart w:id="16" w:name="_2jxsxqh" w:colFirst="0" w:colLast="0"/>
      <w:bookmarkEnd w:id="16"/>
      <w:r>
        <w:rPr>
          <w:rFonts w:ascii="Arial" w:eastAsia="Arial" w:hAnsi="Arial" w:cs="Arial"/>
          <w:color w:val="000000"/>
          <w:sz w:val="24"/>
          <w:szCs w:val="24"/>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4.64.6. </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CCS shall be able to share any information it receives from the Buyer in accordance with this Paragraph with any Buyer who has entered into a Call-Off Contract with the Supplier.</w:t>
      </w:r>
    </w:p>
    <w:p w:rsidR="00041F42" w:rsidRDefault="006D47B4">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 xml:space="preserve">When CCS or the Buyer can terminate for financial distress </w:t>
      </w:r>
    </w:p>
    <w:p w:rsidR="00041F42" w:rsidRDefault="006D47B4">
      <w:pPr>
        <w:keepNext/>
        <w:numPr>
          <w:ilvl w:val="1"/>
          <w:numId w:val="2"/>
        </w:numPr>
        <w:pBdr>
          <w:top w:val="nil"/>
          <w:left w:val="nil"/>
          <w:bottom w:val="nil"/>
          <w:right w:val="nil"/>
          <w:between w:val="nil"/>
        </w:pBdr>
        <w:tabs>
          <w:tab w:val="left" w:pos="1134"/>
        </w:tabs>
        <w:spacing w:before="120" w:after="120"/>
        <w:ind w:hanging="360"/>
        <w:jc w:val="left"/>
      </w:pPr>
      <w:bookmarkStart w:id="17" w:name="_z337ya" w:colFirst="0" w:colLast="0"/>
      <w:bookmarkEnd w:id="17"/>
      <w:r>
        <w:rPr>
          <w:rFonts w:ascii="Arial" w:eastAsia="Arial" w:hAnsi="Arial" w:cs="Arial"/>
          <w:color w:val="000000"/>
          <w:sz w:val="24"/>
          <w:szCs w:val="24"/>
        </w:rPr>
        <w:t xml:space="preserve">CCS shall be entitled to terminate this Contract and Buyers shall be entitled to terminate their Call-Off Contracts for material Default if: </w:t>
      </w:r>
    </w:p>
    <w:p w:rsidR="00041F42" w:rsidRDefault="006D47B4">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the Supplier fails to notify CCS of a Financial Distress Event in accordance with Paragraph 3.4; </w:t>
      </w:r>
    </w:p>
    <w:p w:rsidR="00041F42" w:rsidRDefault="006D47B4">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CCS and the Supplier fail to agree a Financial Distress Service Continuity Plan (or any updated Financial Distress Service Continuity Plan) in accordance with Paragraphs 4.3 to 4.5; and/or</w:t>
      </w:r>
    </w:p>
    <w:p w:rsidR="00041F42" w:rsidRDefault="006D47B4">
      <w:pPr>
        <w:numPr>
          <w:ilvl w:val="2"/>
          <w:numId w:val="2"/>
        </w:numPr>
        <w:pBdr>
          <w:top w:val="nil"/>
          <w:left w:val="nil"/>
          <w:bottom w:val="nil"/>
          <w:right w:val="nil"/>
          <w:between w:val="nil"/>
        </w:pBdr>
        <w:tabs>
          <w:tab w:val="left" w:pos="1985"/>
        </w:tabs>
        <w:spacing w:before="120" w:after="120"/>
        <w:jc w:val="left"/>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Supplier fails to comply with the terms of the Financial Distress Service Continuity Plan (or any updated Financial Distress Service Continuity Plan) in accordance with Paragraph 4.6.3.</w:t>
      </w:r>
    </w:p>
    <w:p w:rsidR="00041F42" w:rsidRDefault="006D47B4">
      <w:pPr>
        <w:keepNext/>
        <w:numPr>
          <w:ilvl w:val="0"/>
          <w:numId w:val="2"/>
        </w:numPr>
        <w:pBdr>
          <w:top w:val="nil"/>
          <w:left w:val="nil"/>
          <w:bottom w:val="nil"/>
          <w:right w:val="nil"/>
          <w:between w:val="nil"/>
        </w:pBdr>
        <w:tabs>
          <w:tab w:val="left" w:pos="142"/>
        </w:tabs>
        <w:spacing w:before="120"/>
        <w:jc w:val="left"/>
      </w:pPr>
      <w:bookmarkStart w:id="18" w:name="_3j2qqm3" w:colFirst="0" w:colLast="0"/>
      <w:bookmarkEnd w:id="18"/>
      <w:r>
        <w:rPr>
          <w:rFonts w:ascii="Arial Bold" w:eastAsia="Arial Bold" w:hAnsi="Arial Bold" w:cs="Arial Bold"/>
          <w:b/>
          <w:color w:val="000000"/>
          <w:sz w:val="24"/>
          <w:szCs w:val="24"/>
        </w:rPr>
        <w:t>What happens If your credit rating is still good</w:t>
      </w:r>
    </w:p>
    <w:p w:rsidR="00041F42" w:rsidRDefault="006D47B4">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41F42" w:rsidRDefault="006D47B4">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Supplier shall be relieved automatically of its obligations under Paragraphs 4.3 to 4.6; and</w:t>
      </w:r>
    </w:p>
    <w:p w:rsidR="00041F42" w:rsidRDefault="006D47B4">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CCS shall not be entitled to require the Supplier to provide financial information in accordance with Paragraph 4.3.2(b). </w:t>
      </w:r>
    </w:p>
    <w:p w:rsidR="00041F42" w:rsidRDefault="00041F42">
      <w:pPr>
        <w:pBdr>
          <w:top w:val="nil"/>
          <w:left w:val="nil"/>
          <w:bottom w:val="nil"/>
          <w:right w:val="nil"/>
          <w:between w:val="nil"/>
        </w:pBdr>
        <w:spacing w:after="0"/>
        <w:jc w:val="left"/>
        <w:rPr>
          <w:rFonts w:ascii="Arial" w:eastAsia="Arial" w:hAnsi="Arial" w:cs="Arial"/>
          <w:color w:val="FFFFFF"/>
          <w:sz w:val="24"/>
          <w:szCs w:val="24"/>
        </w:rPr>
      </w:pPr>
    </w:p>
    <w:p w:rsidR="00041F42" w:rsidRDefault="006D47B4">
      <w:pPr>
        <w:keepNext/>
        <w:pBdr>
          <w:top w:val="nil"/>
          <w:left w:val="nil"/>
          <w:bottom w:val="nil"/>
          <w:right w:val="nil"/>
          <w:between w:val="nil"/>
        </w:pBdr>
        <w:ind w:firstLine="426"/>
        <w:jc w:val="left"/>
        <w:rPr>
          <w:rFonts w:ascii="Arial" w:eastAsia="Arial" w:hAnsi="Arial" w:cs="Arial"/>
          <w:b/>
          <w:smallCaps/>
          <w:color w:val="000000"/>
          <w:sz w:val="24"/>
          <w:szCs w:val="24"/>
        </w:rPr>
      </w:pPr>
      <w:bookmarkStart w:id="19" w:name="_1y810tw" w:colFirst="0" w:colLast="0"/>
      <w:bookmarkEnd w:id="19"/>
      <w:r>
        <w:br w:type="page"/>
      </w:r>
    </w:p>
    <w:p w:rsidR="00041F42" w:rsidRDefault="006D47B4">
      <w:pPr>
        <w:keepNext/>
        <w:pBdr>
          <w:top w:val="nil"/>
          <w:left w:val="nil"/>
          <w:bottom w:val="nil"/>
          <w:right w:val="nil"/>
          <w:between w:val="nil"/>
        </w:pBdr>
        <w:ind w:firstLine="426"/>
        <w:jc w:val="left"/>
        <w:rPr>
          <w:rFonts w:ascii="Arial" w:eastAsia="Arial" w:hAnsi="Arial" w:cs="Arial"/>
          <w:b/>
          <w:smallCaps/>
          <w:color w:val="000000"/>
          <w:sz w:val="36"/>
          <w:szCs w:val="36"/>
        </w:rPr>
      </w:pPr>
      <w:bookmarkStart w:id="20" w:name="_4i7ojhp" w:colFirst="0" w:colLast="0"/>
      <w:bookmarkEnd w:id="20"/>
      <w:r>
        <w:rPr>
          <w:rFonts w:ascii="Arial" w:eastAsia="Arial" w:hAnsi="Arial" w:cs="Arial"/>
          <w:b/>
          <w:smallCaps/>
          <w:color w:val="000000"/>
          <w:sz w:val="36"/>
          <w:szCs w:val="36"/>
        </w:rPr>
        <w:lastRenderedPageBreak/>
        <w:t>ANNEX 1: RATING AGENCIES</w:t>
      </w:r>
    </w:p>
    <w:p w:rsidR="00041F42" w:rsidRDefault="006D47B4">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r>
        <w:rPr>
          <w:rFonts w:ascii="Arial" w:eastAsia="Arial" w:hAnsi="Arial" w:cs="Arial"/>
          <w:sz w:val="24"/>
          <w:szCs w:val="24"/>
        </w:rPr>
        <w:t>Dun &amp; Bradstreet (D&amp;B)</w:t>
      </w:r>
    </w:p>
    <w:p w:rsidR="00041F42" w:rsidRDefault="006D47B4">
      <w:pPr>
        <w:keepNext/>
        <w:pBdr>
          <w:top w:val="nil"/>
          <w:left w:val="nil"/>
          <w:bottom w:val="nil"/>
          <w:right w:val="nil"/>
          <w:between w:val="nil"/>
        </w:pBdr>
        <w:ind w:firstLine="426"/>
        <w:jc w:val="left"/>
        <w:rPr>
          <w:rFonts w:ascii="Arial" w:eastAsia="Arial" w:hAnsi="Arial" w:cs="Arial"/>
          <w:b/>
          <w:smallCaps/>
          <w:color w:val="000000"/>
          <w:sz w:val="24"/>
          <w:szCs w:val="24"/>
        </w:rPr>
      </w:pPr>
      <w:bookmarkStart w:id="21" w:name="_2xcytpi" w:colFirst="0" w:colLast="0"/>
      <w:bookmarkEnd w:id="21"/>
      <w:r>
        <w:br w:type="page"/>
      </w:r>
      <w:r>
        <w:rPr>
          <w:rFonts w:ascii="Arial" w:eastAsia="Arial" w:hAnsi="Arial" w:cs="Arial"/>
          <w:b/>
          <w:smallCaps/>
          <w:color w:val="000000"/>
          <w:sz w:val="36"/>
          <w:szCs w:val="36"/>
        </w:rPr>
        <w:lastRenderedPageBreak/>
        <w:t>ANNEX 2: CREDIT RATINGS &amp; CREDIT RATING THRESHOLDS</w:t>
      </w:r>
    </w:p>
    <w:p w:rsidR="00041F42" w:rsidRDefault="006D47B4">
      <w:pPr>
        <w:keepNext/>
        <w:pBdr>
          <w:top w:val="nil"/>
          <w:left w:val="nil"/>
          <w:bottom w:val="nil"/>
          <w:right w:val="nil"/>
          <w:between w:val="nil"/>
        </w:pBdr>
        <w:ind w:firstLine="426"/>
        <w:jc w:val="left"/>
        <w:rPr>
          <w:rFonts w:ascii="Arial" w:eastAsia="Arial" w:hAnsi="Arial" w:cs="Arial"/>
          <w:b/>
          <w:smallCaps/>
          <w:color w:val="000000"/>
          <w:sz w:val="24"/>
          <w:szCs w:val="24"/>
        </w:rPr>
      </w:pPr>
      <w:r>
        <w:rPr>
          <w:rFonts w:ascii="Arial" w:eastAsia="Arial" w:hAnsi="Arial" w:cs="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041F42">
        <w:tc>
          <w:tcPr>
            <w:tcW w:w="3080" w:type="dxa"/>
            <w:tcBorders>
              <w:top w:val="single" w:sz="4" w:space="0" w:color="000000"/>
            </w:tcBorders>
            <w:shd w:val="clear" w:color="auto" w:fill="FFFFFF"/>
          </w:tcPr>
          <w:p w:rsidR="00041F42" w:rsidRDefault="006D47B4">
            <w:pPr>
              <w:keepNext/>
              <w:pBdr>
                <w:top w:val="nil"/>
                <w:left w:val="nil"/>
                <w:bottom w:val="nil"/>
                <w:right w:val="nil"/>
                <w:between w:val="nil"/>
              </w:pBdr>
              <w:spacing w:before="240" w:after="120"/>
              <w:ind w:left="142" w:hanging="142"/>
              <w:jc w:val="left"/>
              <w:rPr>
                <w:rFonts w:ascii="Arial" w:eastAsia="Arial" w:hAnsi="Arial" w:cs="Arial"/>
                <w:b/>
                <w:color w:val="000000"/>
                <w:sz w:val="24"/>
                <w:szCs w:val="24"/>
              </w:rPr>
            </w:pPr>
            <w:r>
              <w:rPr>
                <w:rFonts w:ascii="Arial" w:eastAsia="Arial" w:hAnsi="Arial" w:cs="Arial"/>
                <w:b/>
                <w:color w:val="000000"/>
                <w:sz w:val="24"/>
                <w:szCs w:val="24"/>
              </w:rPr>
              <w:t>Entity</w:t>
            </w:r>
          </w:p>
        </w:tc>
        <w:tc>
          <w:tcPr>
            <w:tcW w:w="3081" w:type="dxa"/>
            <w:tcBorders>
              <w:top w:val="single" w:sz="4" w:space="0" w:color="000000"/>
            </w:tcBorders>
            <w:shd w:val="clear" w:color="auto" w:fill="FFFFFF"/>
          </w:tcPr>
          <w:p w:rsidR="00041F42" w:rsidRDefault="006D47B4">
            <w:pPr>
              <w:keepNext/>
              <w:pBdr>
                <w:top w:val="nil"/>
                <w:left w:val="nil"/>
                <w:bottom w:val="nil"/>
                <w:right w:val="nil"/>
                <w:between w:val="nil"/>
              </w:pBdr>
              <w:spacing w:before="240" w:after="120"/>
              <w:ind w:left="142" w:hanging="142"/>
              <w:jc w:val="left"/>
              <w:rPr>
                <w:rFonts w:ascii="Arial" w:eastAsia="Arial" w:hAnsi="Arial" w:cs="Arial"/>
                <w:b/>
                <w:color w:val="000000"/>
                <w:sz w:val="24"/>
                <w:szCs w:val="24"/>
              </w:rPr>
            </w:pPr>
            <w:r>
              <w:rPr>
                <w:rFonts w:ascii="Arial" w:eastAsia="Arial" w:hAnsi="Arial" w:cs="Arial"/>
                <w:b/>
                <w:color w:val="000000"/>
                <w:sz w:val="24"/>
                <w:szCs w:val="24"/>
              </w:rPr>
              <w:t>Credit rating (long term)</w:t>
            </w:r>
          </w:p>
        </w:tc>
      </w:tr>
      <w:tr w:rsidR="00041F42">
        <w:tc>
          <w:tcPr>
            <w:tcW w:w="3080" w:type="dxa"/>
            <w:shd w:val="clear" w:color="auto" w:fill="FFFFFF"/>
          </w:tcPr>
          <w:p w:rsidR="00041F42" w:rsidRDefault="006D47B4">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r>
              <w:rPr>
                <w:rFonts w:ascii="Arial" w:eastAsia="Arial" w:hAnsi="Arial" w:cs="Arial"/>
                <w:color w:val="000000"/>
                <w:sz w:val="24"/>
                <w:szCs w:val="24"/>
              </w:rPr>
              <w:t>Supplier</w:t>
            </w:r>
          </w:p>
        </w:tc>
        <w:tc>
          <w:tcPr>
            <w:tcW w:w="3081" w:type="dxa"/>
            <w:shd w:val="clear" w:color="auto" w:fill="FFFFFF"/>
          </w:tcPr>
          <w:p w:rsidR="00041F42" w:rsidRDefault="00670CD0">
            <w:pPr>
              <w:keepNext/>
              <w:pBdr>
                <w:top w:val="nil"/>
                <w:left w:val="nil"/>
                <w:bottom w:val="nil"/>
                <w:right w:val="nil"/>
                <w:between w:val="nil"/>
              </w:pBdr>
              <w:spacing w:before="240" w:after="120"/>
              <w:ind w:left="142" w:hanging="142"/>
              <w:jc w:val="left"/>
              <w:rPr>
                <w:rFonts w:ascii="Arial" w:eastAsia="Arial" w:hAnsi="Arial" w:cs="Arial"/>
                <w:color w:val="000000"/>
                <w:sz w:val="24"/>
                <w:szCs w:val="24"/>
              </w:rPr>
            </w:pPr>
            <w:r w:rsidRPr="00670CD0">
              <w:rPr>
                <w:rFonts w:ascii="Arial" w:eastAsia="Arial" w:hAnsi="Arial" w:cs="Arial"/>
                <w:color w:val="000000"/>
                <w:sz w:val="24"/>
                <w:szCs w:val="24"/>
                <w:highlight w:val="yellow"/>
              </w:rPr>
              <w:t>[REDACTED]</w:t>
            </w:r>
          </w:p>
        </w:tc>
      </w:tr>
    </w:tbl>
    <w:p w:rsidR="00041F42" w:rsidRDefault="00041F42">
      <w:pPr>
        <w:spacing w:after="0"/>
        <w:rPr>
          <w:rFonts w:ascii="Arial" w:eastAsia="Arial" w:hAnsi="Arial" w:cs="Arial"/>
          <w:sz w:val="24"/>
          <w:szCs w:val="24"/>
        </w:rPr>
      </w:pPr>
    </w:p>
    <w:p w:rsidR="00041F42" w:rsidRDefault="00041F42">
      <w:pPr>
        <w:spacing w:after="0"/>
        <w:rPr>
          <w:rFonts w:ascii="Arial" w:eastAsia="Arial" w:hAnsi="Arial" w:cs="Arial"/>
          <w:sz w:val="24"/>
          <w:szCs w:val="24"/>
        </w:rPr>
      </w:pPr>
    </w:p>
    <w:p w:rsidR="00041F42" w:rsidRDefault="006D47B4">
      <w:pPr>
        <w:spacing w:after="0"/>
        <w:rPr>
          <w:rFonts w:ascii="Arial" w:eastAsia="Arial" w:hAnsi="Arial" w:cs="Arial"/>
          <w:b/>
          <w:sz w:val="24"/>
          <w:szCs w:val="24"/>
        </w:rPr>
      </w:pPr>
      <w:r>
        <w:rPr>
          <w:rFonts w:ascii="Arial" w:eastAsia="Arial" w:hAnsi="Arial" w:cs="Arial"/>
          <w:b/>
          <w:sz w:val="24"/>
          <w:szCs w:val="24"/>
        </w:rPr>
        <w:t>Part 2: Credit Rating Threshold</w:t>
      </w:r>
    </w:p>
    <w:p w:rsidR="00041F42" w:rsidRDefault="00041F42">
      <w:pPr>
        <w:spacing w:after="0"/>
        <w:rPr>
          <w:rFonts w:ascii="Arial" w:eastAsia="Arial" w:hAnsi="Arial" w:cs="Arial"/>
          <w:b/>
          <w:sz w:val="24"/>
          <w:szCs w:val="24"/>
        </w:rPr>
      </w:pPr>
    </w:p>
    <w:p w:rsidR="00041F42" w:rsidRDefault="00041F42">
      <w:pPr>
        <w:spacing w:after="0"/>
        <w:rPr>
          <w:rFonts w:ascii="Arial" w:eastAsia="Arial" w:hAnsi="Arial" w:cs="Arial"/>
          <w:b/>
          <w:sz w:val="24"/>
          <w:szCs w:val="24"/>
        </w:rPr>
      </w:pPr>
    </w:p>
    <w:tbl>
      <w:tblPr>
        <w:tblStyle w:val="a2"/>
        <w:tblW w:w="6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40"/>
        <w:gridCol w:w="3300"/>
      </w:tblGrid>
      <w:tr w:rsidR="00041F42">
        <w:tc>
          <w:tcPr>
            <w:tcW w:w="2940" w:type="dxa"/>
            <w:shd w:val="clear" w:color="auto" w:fill="auto"/>
            <w:tcMar>
              <w:top w:w="100" w:type="dxa"/>
              <w:left w:w="100" w:type="dxa"/>
              <w:bottom w:w="100" w:type="dxa"/>
              <w:right w:w="100" w:type="dxa"/>
            </w:tcMar>
          </w:tcPr>
          <w:p w:rsidR="00041F42" w:rsidRDefault="006D47B4">
            <w:pPr>
              <w:widowControl w:val="0"/>
              <w:pBdr>
                <w:top w:val="nil"/>
                <w:left w:val="nil"/>
                <w:bottom w:val="nil"/>
                <w:right w:val="nil"/>
                <w:between w:val="nil"/>
              </w:pBdr>
              <w:spacing w:after="0"/>
              <w:jc w:val="left"/>
              <w:rPr>
                <w:rFonts w:ascii="Arial" w:eastAsia="Arial" w:hAnsi="Arial" w:cs="Arial"/>
                <w:b/>
                <w:sz w:val="24"/>
                <w:szCs w:val="24"/>
              </w:rPr>
            </w:pPr>
            <w:r>
              <w:rPr>
                <w:rFonts w:ascii="Arial" w:eastAsia="Arial" w:hAnsi="Arial" w:cs="Arial"/>
                <w:b/>
                <w:sz w:val="24"/>
                <w:szCs w:val="24"/>
              </w:rPr>
              <w:t>Lot No. &amp; Description</w:t>
            </w:r>
          </w:p>
        </w:tc>
        <w:tc>
          <w:tcPr>
            <w:tcW w:w="3300" w:type="dxa"/>
            <w:shd w:val="clear" w:color="auto" w:fill="auto"/>
            <w:tcMar>
              <w:top w:w="100" w:type="dxa"/>
              <w:left w:w="100" w:type="dxa"/>
              <w:bottom w:w="100" w:type="dxa"/>
              <w:right w:w="100" w:type="dxa"/>
            </w:tcMar>
          </w:tcPr>
          <w:p w:rsidR="00041F42" w:rsidRDefault="006D47B4">
            <w:pPr>
              <w:widowControl w:val="0"/>
              <w:pBdr>
                <w:top w:val="nil"/>
                <w:left w:val="nil"/>
                <w:bottom w:val="nil"/>
                <w:right w:val="nil"/>
                <w:between w:val="nil"/>
              </w:pBdr>
              <w:spacing w:after="0"/>
              <w:jc w:val="left"/>
              <w:rPr>
                <w:rFonts w:ascii="Arial" w:eastAsia="Arial" w:hAnsi="Arial" w:cs="Arial"/>
                <w:b/>
                <w:sz w:val="24"/>
                <w:szCs w:val="24"/>
              </w:rPr>
            </w:pPr>
            <w:r>
              <w:rPr>
                <w:rFonts w:ascii="Arial" w:eastAsia="Arial" w:hAnsi="Arial" w:cs="Arial"/>
                <w:b/>
                <w:sz w:val="24"/>
                <w:szCs w:val="24"/>
              </w:rPr>
              <w:t>Credit rating threshold</w:t>
            </w:r>
          </w:p>
        </w:tc>
      </w:tr>
      <w:tr w:rsidR="00041F42">
        <w:tc>
          <w:tcPr>
            <w:tcW w:w="2940" w:type="dxa"/>
            <w:shd w:val="clear" w:color="auto" w:fill="auto"/>
            <w:tcMar>
              <w:top w:w="100" w:type="dxa"/>
              <w:left w:w="100" w:type="dxa"/>
              <w:bottom w:w="100" w:type="dxa"/>
              <w:right w:w="100" w:type="dxa"/>
            </w:tcMar>
          </w:tcPr>
          <w:p w:rsidR="00041F42" w:rsidRDefault="006D47B4">
            <w:pPr>
              <w:widowControl w:val="0"/>
              <w:pBdr>
                <w:top w:val="nil"/>
                <w:left w:val="nil"/>
                <w:bottom w:val="nil"/>
                <w:right w:val="nil"/>
                <w:between w:val="nil"/>
              </w:pBdr>
              <w:spacing w:after="0"/>
              <w:jc w:val="left"/>
              <w:rPr>
                <w:rFonts w:ascii="Arial" w:eastAsia="Arial" w:hAnsi="Arial" w:cs="Arial"/>
                <w:b/>
              </w:rPr>
            </w:pPr>
            <w:r>
              <w:rPr>
                <w:rFonts w:ascii="Arial" w:eastAsia="Arial" w:hAnsi="Arial" w:cs="Arial"/>
                <w:b/>
              </w:rPr>
              <w:t xml:space="preserve">Lot 1 </w:t>
            </w:r>
            <w:r>
              <w:rPr>
                <w:rFonts w:ascii="Arial" w:eastAsia="Arial" w:hAnsi="Arial" w:cs="Arial"/>
              </w:rPr>
              <w:t>Print Management Services; including strategic and transformational requirements</w:t>
            </w:r>
            <w:r>
              <w:rPr>
                <w:rFonts w:ascii="Arial" w:eastAsia="Arial" w:hAnsi="Arial" w:cs="Arial"/>
                <w:b/>
              </w:rPr>
              <w:t>.</w:t>
            </w:r>
          </w:p>
        </w:tc>
        <w:tc>
          <w:tcPr>
            <w:tcW w:w="3300" w:type="dxa"/>
            <w:shd w:val="clear" w:color="auto" w:fill="auto"/>
            <w:tcMar>
              <w:top w:w="100" w:type="dxa"/>
              <w:left w:w="100" w:type="dxa"/>
              <w:bottom w:w="100" w:type="dxa"/>
              <w:right w:w="100" w:type="dxa"/>
            </w:tcMar>
          </w:tcPr>
          <w:p w:rsidR="00041F42" w:rsidRDefault="006D47B4">
            <w:pPr>
              <w:widowControl w:val="0"/>
              <w:pBdr>
                <w:top w:val="nil"/>
                <w:left w:val="nil"/>
                <w:bottom w:val="nil"/>
                <w:right w:val="nil"/>
                <w:between w:val="nil"/>
              </w:pBdr>
              <w:spacing w:after="0"/>
              <w:jc w:val="left"/>
              <w:rPr>
                <w:rFonts w:ascii="Arial" w:eastAsia="Arial" w:hAnsi="Arial" w:cs="Arial"/>
                <w:b/>
                <w:sz w:val="24"/>
                <w:szCs w:val="24"/>
              </w:rPr>
            </w:pPr>
            <w:r>
              <w:rPr>
                <w:rFonts w:ascii="Arial" w:eastAsia="Arial" w:hAnsi="Arial" w:cs="Arial"/>
                <w:b/>
                <w:sz w:val="24"/>
                <w:szCs w:val="24"/>
              </w:rPr>
              <w:t>65</w:t>
            </w:r>
            <w:bookmarkStart w:id="22" w:name="_GoBack"/>
            <w:bookmarkEnd w:id="22"/>
          </w:p>
        </w:tc>
      </w:tr>
      <w:tr w:rsidR="00041F42">
        <w:tc>
          <w:tcPr>
            <w:tcW w:w="2940" w:type="dxa"/>
            <w:shd w:val="clear" w:color="auto" w:fill="auto"/>
            <w:tcMar>
              <w:top w:w="100" w:type="dxa"/>
              <w:left w:w="100" w:type="dxa"/>
              <w:bottom w:w="100" w:type="dxa"/>
              <w:right w:w="100" w:type="dxa"/>
            </w:tcMar>
          </w:tcPr>
          <w:p w:rsidR="00041F42" w:rsidRDefault="006D47B4">
            <w:pPr>
              <w:widowControl w:val="0"/>
              <w:pBdr>
                <w:top w:val="nil"/>
                <w:left w:val="nil"/>
                <w:bottom w:val="nil"/>
                <w:right w:val="nil"/>
                <w:between w:val="nil"/>
              </w:pBdr>
              <w:spacing w:after="0"/>
              <w:jc w:val="left"/>
              <w:rPr>
                <w:rFonts w:ascii="Arial" w:eastAsia="Arial" w:hAnsi="Arial" w:cs="Arial"/>
                <w:sz w:val="24"/>
                <w:szCs w:val="24"/>
              </w:rPr>
            </w:pPr>
            <w:r>
              <w:rPr>
                <w:rFonts w:ascii="Arial" w:eastAsia="Arial" w:hAnsi="Arial" w:cs="Arial"/>
                <w:b/>
                <w:sz w:val="24"/>
                <w:szCs w:val="24"/>
              </w:rPr>
              <w:t>Lot 2</w:t>
            </w:r>
            <w:r>
              <w:rPr>
                <w:rFonts w:ascii="Arial" w:eastAsia="Arial" w:hAnsi="Arial" w:cs="Arial"/>
                <w:sz w:val="24"/>
                <w:szCs w:val="24"/>
              </w:rPr>
              <w:t xml:space="preserve"> Print Management Services</w:t>
            </w:r>
          </w:p>
        </w:tc>
        <w:tc>
          <w:tcPr>
            <w:tcW w:w="3300" w:type="dxa"/>
            <w:shd w:val="clear" w:color="auto" w:fill="auto"/>
            <w:tcMar>
              <w:top w:w="100" w:type="dxa"/>
              <w:left w:w="100" w:type="dxa"/>
              <w:bottom w:w="100" w:type="dxa"/>
              <w:right w:w="100" w:type="dxa"/>
            </w:tcMar>
          </w:tcPr>
          <w:p w:rsidR="00041F42" w:rsidRDefault="006D47B4">
            <w:pPr>
              <w:widowControl w:val="0"/>
              <w:pBdr>
                <w:top w:val="nil"/>
                <w:left w:val="nil"/>
                <w:bottom w:val="nil"/>
                <w:right w:val="nil"/>
                <w:between w:val="nil"/>
              </w:pBdr>
              <w:spacing w:after="0"/>
              <w:jc w:val="left"/>
              <w:rPr>
                <w:rFonts w:ascii="Arial" w:eastAsia="Arial" w:hAnsi="Arial" w:cs="Arial"/>
                <w:b/>
                <w:sz w:val="24"/>
                <w:szCs w:val="24"/>
              </w:rPr>
            </w:pPr>
            <w:r>
              <w:rPr>
                <w:rFonts w:ascii="Arial" w:eastAsia="Arial" w:hAnsi="Arial" w:cs="Arial"/>
                <w:b/>
                <w:sz w:val="24"/>
                <w:szCs w:val="24"/>
              </w:rPr>
              <w:t>40</w:t>
            </w:r>
          </w:p>
        </w:tc>
      </w:tr>
    </w:tbl>
    <w:p w:rsidR="00041F42" w:rsidRDefault="00041F42">
      <w:pPr>
        <w:spacing w:after="0"/>
        <w:rPr>
          <w:rFonts w:ascii="Arial" w:eastAsia="Arial" w:hAnsi="Arial" w:cs="Arial"/>
          <w:b/>
          <w:sz w:val="24"/>
          <w:szCs w:val="24"/>
        </w:rPr>
      </w:pPr>
    </w:p>
    <w:sectPr w:rsidR="00041F42">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4D0C" w:rsidRDefault="00044D0C">
      <w:pPr>
        <w:spacing w:after="0"/>
      </w:pPr>
      <w:r>
        <w:separator/>
      </w:r>
    </w:p>
  </w:endnote>
  <w:endnote w:type="continuationSeparator" w:id="0">
    <w:p w:rsidR="00044D0C" w:rsidRDefault="00044D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1F42" w:rsidRDefault="006D47B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D3453F">
      <w:rPr>
        <w:rFonts w:ascii="Arial" w:eastAsia="Arial" w:hAnsi="Arial" w:cs="Arial"/>
        <w:sz w:val="20"/>
        <w:szCs w:val="20"/>
      </w:rPr>
      <w:t xml:space="preserve"> 6170 Print Management Services</w:t>
    </w:r>
    <w:r>
      <w:rPr>
        <w:rFonts w:ascii="Arial" w:eastAsia="Arial" w:hAnsi="Arial" w:cs="Arial"/>
        <w:sz w:val="20"/>
        <w:szCs w:val="20"/>
      </w:rPr>
      <w:tab/>
      <w:t xml:space="preserve">                                           </w:t>
    </w:r>
  </w:p>
  <w:p w:rsidR="00041F42" w:rsidRDefault="006D47B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70CD0">
      <w:rPr>
        <w:rFonts w:ascii="Arial" w:eastAsia="Arial" w:hAnsi="Arial" w:cs="Arial"/>
        <w:noProof/>
        <w:color w:val="000000"/>
        <w:sz w:val="20"/>
        <w:szCs w:val="20"/>
      </w:rPr>
      <w:t>7</w:t>
    </w:r>
    <w:r>
      <w:rPr>
        <w:rFonts w:ascii="Arial" w:eastAsia="Arial" w:hAnsi="Arial" w:cs="Arial"/>
        <w:color w:val="000000"/>
        <w:sz w:val="20"/>
        <w:szCs w:val="20"/>
      </w:rPr>
      <w:fldChar w:fldCharType="end"/>
    </w:r>
  </w:p>
  <w:p w:rsidR="00041F42" w:rsidRDefault="006D47B4">
    <w:pPr>
      <w:spacing w:after="0"/>
      <w:rPr>
        <w:rFonts w:ascii="Arial" w:eastAsia="Arial" w:hAnsi="Arial" w:cs="Arial"/>
        <w:sz w:val="20"/>
        <w:szCs w:val="20"/>
      </w:rPr>
    </w:pPr>
    <w:r>
      <w:rPr>
        <w:rFonts w:ascii="Arial" w:eastAsia="Arial" w:hAnsi="Arial" w:cs="Arial"/>
        <w:sz w:val="20"/>
        <w:szCs w:val="20"/>
      </w:rPr>
      <w:t>Model Version: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1F42" w:rsidRDefault="006D47B4">
    <w:pPr>
      <w:tabs>
        <w:tab w:val="center" w:pos="4513"/>
        <w:tab w:val="right" w:pos="9026"/>
      </w:tabs>
      <w:spacing w:after="0"/>
      <w:rPr>
        <w:color w:val="BFBFBF"/>
      </w:rPr>
    </w:pPr>
    <w:r>
      <w:rPr>
        <w:color w:val="BFBFBF"/>
      </w:rPr>
      <w:t>Framework Ref: RM</w:t>
    </w:r>
    <w:r>
      <w:rPr>
        <w:color w:val="BFBFBF"/>
      </w:rPr>
      <w:tab/>
      <w:t xml:space="preserve">                                           </w:t>
    </w:r>
  </w:p>
  <w:p w:rsidR="00041F42" w:rsidRDefault="006D47B4">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rsidR="00041F42" w:rsidRDefault="006D47B4">
    <w:pPr>
      <w:spacing w:after="0"/>
      <w:rPr>
        <w:rFonts w:ascii="Arial" w:eastAsia="Arial" w:hAnsi="Arial" w:cs="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4D0C" w:rsidRDefault="00044D0C">
      <w:pPr>
        <w:spacing w:after="0"/>
      </w:pPr>
      <w:r>
        <w:separator/>
      </w:r>
    </w:p>
  </w:footnote>
  <w:footnote w:type="continuationSeparator" w:id="0">
    <w:p w:rsidR="00044D0C" w:rsidRDefault="00044D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1F42" w:rsidRDefault="006D47B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7 (Financial Difficulties)</w:t>
    </w:r>
  </w:p>
  <w:p w:rsidR="00041F42" w:rsidRDefault="006D47B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sidR="009D7ED1">
      <w:rPr>
        <w:rFonts w:ascii="Arial" w:eastAsia="Arial" w:hAnsi="Arial" w:cs="Arial"/>
        <w:color w:val="000000"/>
        <w:sz w:val="20"/>
        <w:szCs w:val="20"/>
      </w:rPr>
      <w:t>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7C5B44"/>
    <w:multiLevelType w:val="multilevel"/>
    <w:tmpl w:val="FD44DF4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AE80995"/>
    <w:multiLevelType w:val="multilevel"/>
    <w:tmpl w:val="7BC0E05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F42"/>
    <w:rsid w:val="00041F42"/>
    <w:rsid w:val="00044D0C"/>
    <w:rsid w:val="00670CD0"/>
    <w:rsid w:val="006D47B4"/>
    <w:rsid w:val="009D7ED1"/>
    <w:rsid w:val="00CE026E"/>
    <w:rsid w:val="00D345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1E1ED"/>
  <w15:docId w15:val="{015F8933-F12B-475D-8E38-D226F290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D3453F"/>
    <w:pPr>
      <w:tabs>
        <w:tab w:val="center" w:pos="4513"/>
        <w:tab w:val="right" w:pos="9026"/>
      </w:tabs>
      <w:spacing w:after="0"/>
    </w:pPr>
  </w:style>
  <w:style w:type="character" w:customStyle="1" w:styleId="HeaderChar">
    <w:name w:val="Header Char"/>
    <w:basedOn w:val="DefaultParagraphFont"/>
    <w:link w:val="Header"/>
    <w:uiPriority w:val="99"/>
    <w:rsid w:val="00D3453F"/>
  </w:style>
  <w:style w:type="paragraph" w:styleId="Footer">
    <w:name w:val="footer"/>
    <w:basedOn w:val="Normal"/>
    <w:link w:val="FooterChar"/>
    <w:uiPriority w:val="99"/>
    <w:unhideWhenUsed/>
    <w:rsid w:val="00D3453F"/>
    <w:pPr>
      <w:tabs>
        <w:tab w:val="center" w:pos="4513"/>
        <w:tab w:val="right" w:pos="9026"/>
      </w:tabs>
      <w:spacing w:after="0"/>
    </w:pPr>
  </w:style>
  <w:style w:type="character" w:customStyle="1" w:styleId="FooterChar">
    <w:name w:val="Footer Char"/>
    <w:basedOn w:val="DefaultParagraphFont"/>
    <w:link w:val="Footer"/>
    <w:uiPriority w:val="99"/>
    <w:rsid w:val="00D34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1661</Words>
  <Characters>9470</Characters>
  <Application>Microsoft Office Word</Application>
  <DocSecurity>0</DocSecurity>
  <Lines>78</Lines>
  <Paragraphs>22</Paragraphs>
  <ScaleCrop>false</ScaleCrop>
  <Company>Cabinet Office</Company>
  <LinksUpToDate>false</LinksUpToDate>
  <CharactersWithSpaces>11109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4</cp:revision>
  <dcterms:created xsi:type="dcterms:W3CDTF">2020-07-01T14:58:00Z</dcterms:created>
  <dcterms:modified xsi:type="dcterms:W3CDTF">2021-01-05T16:59:00Z</dcterms:modified>
</cp:coreProperties>
</file>